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69F4">
      <w:pPr>
        <w:pStyle w:val="5"/>
        <w:wordWrap w:val="0"/>
        <w:overflowPunct w:val="0"/>
        <w:autoSpaceDE w:val="0"/>
        <w:spacing w:before="0" w:beforeAutospacing="0" w:after="0" w:afterAutospacing="0" w:line="600" w:lineRule="exact"/>
        <w:ind w:firstLine="641"/>
        <w:jc w:val="center"/>
        <w:rPr>
          <w:rFonts w:hint="eastAsia" w:ascii="方正小标宋_GBK" w:hAnsi="方正小标宋_GBK" w:eastAsia="方正小标宋_GBK" w:cs="方正小标宋_GBK"/>
          <w:color w:val="000000"/>
          <w:sz w:val="44"/>
          <w:szCs w:val="44"/>
        </w:rPr>
      </w:pPr>
      <w:bookmarkStart w:id="0" w:name="OLE_LINK1"/>
      <w:r>
        <w:rPr>
          <w:rFonts w:hint="eastAsia" w:ascii="方正小标宋_GBK" w:hAnsi="方正小标宋_GBK" w:eastAsia="方正小标宋_GBK" w:cs="方正小标宋_GBK"/>
          <w:color w:val="000000"/>
          <w:sz w:val="44"/>
          <w:szCs w:val="44"/>
        </w:rPr>
        <w:t>泗县医疗保障局2024年政府</w:t>
      </w:r>
    </w:p>
    <w:p w14:paraId="146AA86F">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sz w:val="32"/>
          <w:szCs w:val="32"/>
        </w:rPr>
      </w:pPr>
      <w:r>
        <w:rPr>
          <w:rFonts w:hint="eastAsia" w:ascii="方正小标宋_GBK" w:hAnsi="方正小标宋_GBK" w:eastAsia="方正小标宋_GBK" w:cs="方正小标宋_GBK"/>
          <w:color w:val="000000"/>
          <w:sz w:val="44"/>
          <w:szCs w:val="44"/>
        </w:rPr>
        <w:t>信息公开工作年度报告</w:t>
      </w:r>
    </w:p>
    <w:p w14:paraId="5ACC684A">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sz w:val="32"/>
          <w:szCs w:val="32"/>
        </w:rPr>
      </w:pPr>
    </w:p>
    <w:p w14:paraId="6EC9C109">
      <w:pPr>
        <w:pStyle w:val="5"/>
        <w:overflowPunct w:val="0"/>
        <w:autoSpaceDE w:val="0"/>
        <w:spacing w:before="0" w:beforeAutospacing="0" w:after="0" w:afterAutospacing="0" w:line="570" w:lineRule="exact"/>
        <w:ind w:firstLine="641"/>
        <w:jc w:val="both"/>
        <w:rPr>
          <w:rFonts w:ascii="Times New Roman" w:hAnsi="Times New Roman" w:eastAsia="方正仿宋_GBK" w:cs="方正仿宋_GBK"/>
          <w:kern w:val="2"/>
          <w:sz w:val="32"/>
          <w:szCs w:val="32"/>
        </w:rPr>
      </w:pPr>
      <w:bookmarkStart w:id="1" w:name="OLE_LINK2"/>
      <w:r>
        <w:rPr>
          <w:rFonts w:hint="eastAsia" w:ascii="Times New Roman" w:hAnsi="Times New Roman" w:eastAsia="方正仿宋_GBK" w:cs="方正仿宋_GBK"/>
          <w:kern w:val="2"/>
          <w:sz w:val="32"/>
          <w:szCs w:val="32"/>
        </w:rPr>
        <w:t>根据《中华人民共和国政府信息公开条例》 (国务院令第711号,以下简称《条例》)的规定,现发布《泗县医保局2024年政府信息公开工作年度报告》。本年度报告中使用数据统计期限为2024年1月1日至12月31日，电子版可通过泗县医保局政府信息公开专栏（https://www.sixian.gov.cn/public/content/162132331）下载。</w:t>
      </w:r>
    </w:p>
    <w:p w14:paraId="4CFF7486">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一、总体情况 </w:t>
      </w:r>
    </w:p>
    <w:p w14:paraId="7F261510">
      <w:pPr>
        <w:pStyle w:val="5"/>
        <w:overflowPunct w:val="0"/>
        <w:autoSpaceDE w:val="0"/>
        <w:spacing w:before="0" w:beforeAutospacing="0" w:after="0" w:afterAutospacing="0" w:line="570" w:lineRule="exact"/>
        <w:ind w:firstLine="640"/>
        <w:jc w:val="both"/>
        <w:rPr>
          <w:rFonts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rPr>
        <w:t>（一） 主动公开情况。</w:t>
      </w:r>
      <w:r>
        <w:rPr>
          <w:rFonts w:hint="eastAsia" w:ascii="Times New Roman" w:hAnsi="Times New Roman" w:eastAsia="方正仿宋_GBK" w:cs="方正仿宋_GBK"/>
          <w:kern w:val="2"/>
          <w:sz w:val="32"/>
          <w:szCs w:val="32"/>
        </w:rPr>
        <w:t>2024年以来，</w:t>
      </w:r>
      <w:bookmarkStart w:id="2" w:name="OLE_LINK3"/>
      <w:r>
        <w:rPr>
          <w:rFonts w:hint="eastAsia" w:ascii="Times New Roman" w:hAnsi="Times New Roman" w:eastAsia="方正仿宋_GBK" w:cs="方正仿宋_GBK"/>
          <w:kern w:val="2"/>
          <w:sz w:val="32"/>
          <w:szCs w:val="32"/>
        </w:rPr>
        <w:t>县医保局在政府门户网站公开信息数84条</w:t>
      </w:r>
      <w:bookmarkEnd w:id="2"/>
      <w:r>
        <w:rPr>
          <w:rFonts w:hint="eastAsia" w:ascii="Times New Roman" w:hAnsi="Times New Roman" w:eastAsia="方正仿宋_GBK" w:cs="方正仿宋_GBK"/>
          <w:kern w:val="2"/>
          <w:sz w:val="32"/>
          <w:szCs w:val="32"/>
        </w:rPr>
        <w:t>。通过主动及时公开医疗保障领域各项最新的政策和法律法规、加强政策解读，让群众懂政策、知流程。同时积极公开基本医疗保障基金运行情况、医疗救助资金和生育保险基金发放情况、医保监管相关情况等，向社会公众全方位展示我县医保基金运行情况，接受社会监督。</w:t>
      </w:r>
    </w:p>
    <w:p w14:paraId="73030597">
      <w:pPr>
        <w:pStyle w:val="5"/>
        <w:overflowPunct w:val="0"/>
        <w:autoSpaceDE w:val="0"/>
        <w:spacing w:before="0" w:beforeAutospacing="0" w:after="0" w:afterAutospacing="0" w:line="570" w:lineRule="exact"/>
        <w:ind w:firstLine="640"/>
        <w:jc w:val="both"/>
        <w:rPr>
          <w:rFonts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rPr>
        <w:t>（二）依申请公开情况。</w:t>
      </w:r>
      <w:r>
        <w:rPr>
          <w:rFonts w:hint="eastAsia" w:ascii="Times New Roman" w:hAnsi="Times New Roman" w:eastAsia="方正仿宋_GBK" w:cs="方正仿宋_GBK"/>
          <w:kern w:val="2"/>
          <w:sz w:val="32"/>
          <w:szCs w:val="32"/>
        </w:rPr>
        <w:t>本单位2024年收到依申请公开数量0条，无因依申请公开引起的行政诉讼和行政复议情况。</w:t>
      </w:r>
    </w:p>
    <w:p w14:paraId="55FA5895">
      <w:pPr>
        <w:pStyle w:val="5"/>
        <w:overflowPunct w:val="0"/>
        <w:autoSpaceDE w:val="0"/>
        <w:spacing w:before="0" w:beforeAutospacing="0" w:after="0" w:afterAutospacing="0" w:line="570" w:lineRule="exact"/>
        <w:ind w:firstLine="640"/>
        <w:jc w:val="both"/>
        <w:rPr>
          <w:rFonts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rPr>
        <w:t>（三）政府信息管理情况。</w:t>
      </w:r>
      <w:r>
        <w:rPr>
          <w:rFonts w:hint="eastAsia" w:ascii="Times New Roman" w:hAnsi="Times New Roman" w:eastAsia="方正仿宋_GBK" w:cs="方正仿宋_GBK"/>
          <w:kern w:val="2"/>
          <w:sz w:val="32"/>
          <w:szCs w:val="32"/>
        </w:rPr>
        <w:t>今年以来，为规范网站信息审查发布工作，促进机关依法行政，我局坚持主要负责人抓统一调度、分管负责人抓业务管理，明确信息公开专职人员，各业务股室和中心负责公开信息的上报工作。同时，严格履行政府信息公开程序，发布信息经分管领导审核后，安排专人负责平台动态更新和维护工作。</w:t>
      </w:r>
    </w:p>
    <w:p w14:paraId="0025272C">
      <w:pPr>
        <w:pStyle w:val="5"/>
        <w:overflowPunct w:val="0"/>
        <w:autoSpaceDE w:val="0"/>
        <w:spacing w:before="0" w:beforeAutospacing="0" w:after="0" w:afterAutospacing="0" w:line="570" w:lineRule="exact"/>
        <w:ind w:firstLine="640"/>
        <w:jc w:val="both"/>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rPr>
        <w:t>（四）平台建设情况。形式上以政府信息公开平台为主要依托，不断加强维护管理，并对于发布信息精准归类，确保群众能精确找到所需信息。内容上</w:t>
      </w:r>
      <w:r>
        <w:rPr>
          <w:rFonts w:hint="eastAsia" w:ascii="Times New Roman" w:hAnsi="Times New Roman" w:eastAsia="方正仿宋_GBK" w:cs="方正仿宋_GBK"/>
          <w:kern w:val="2"/>
          <w:sz w:val="32"/>
          <w:szCs w:val="32"/>
        </w:rPr>
        <w:t>加大原创信息发布力度，宣传参保政策和医疗保障相关法律法规，提升群众知晓度；宣传医保工作新做法、新成效，向社会展示医保形象。</w:t>
      </w:r>
    </w:p>
    <w:p w14:paraId="2C5C6AB3">
      <w:pPr>
        <w:pStyle w:val="5"/>
        <w:overflowPunct w:val="0"/>
        <w:autoSpaceDE w:val="0"/>
        <w:spacing w:before="0" w:beforeAutospacing="0" w:after="0" w:afterAutospacing="0" w:line="570" w:lineRule="exact"/>
        <w:ind w:firstLine="640"/>
        <w:jc w:val="both"/>
        <w:rPr>
          <w:rFonts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rPr>
        <w:t>（五）监督保障情况。</w:t>
      </w:r>
      <w:r>
        <w:rPr>
          <w:rFonts w:hint="eastAsia" w:ascii="Times New Roman" w:hAnsi="Times New Roman" w:eastAsia="方正仿宋_GBK" w:cs="方正仿宋_GBK"/>
          <w:kern w:val="2"/>
          <w:sz w:val="32"/>
          <w:szCs w:val="32"/>
        </w:rPr>
        <w:t>根进一步建立完善信息发布登记制度，对所发布的信息及信息审核表进行存档保存，定期组织工作人员学习《中华人民共和国政府信息公开条例》等培训，积极组织相关工作人员参加县政府组织的政府信息公开工作培训及集中整改工作，不断适应政务公开工作新要求2024年，未发生因政府信息公开审查不当被追责情况。</w:t>
      </w:r>
    </w:p>
    <w:p w14:paraId="707612D8">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方正黑体_GBK" w:eastAsia="方正黑体_GBK" w:cs="方正黑体_GBK"/>
          <w:sz w:val="32"/>
          <w:szCs w:val="32"/>
        </w:rPr>
        <w:t>二、主动公开政府信息情况</w:t>
      </w:r>
      <w:r>
        <w:rPr>
          <w:rFonts w:hint="eastAsia" w:ascii="Times New Roman" w:hAnsi="Times New Roman" w:eastAsia="方正仿宋_GBK" w:cs="Times New Roman"/>
          <w:color w:val="000000"/>
          <w:sz w:val="32"/>
          <w:szCs w:val="32"/>
        </w:rPr>
        <w:t> </w:t>
      </w:r>
    </w:p>
    <w:tbl>
      <w:tblPr>
        <w:tblStyle w:val="6"/>
        <w:tblW w:w="9062" w:type="dxa"/>
        <w:jc w:val="center"/>
        <w:tblLayout w:type="autofit"/>
        <w:tblCellMar>
          <w:top w:w="0" w:type="dxa"/>
          <w:left w:w="0" w:type="dxa"/>
          <w:bottom w:w="0" w:type="dxa"/>
          <w:right w:w="0" w:type="dxa"/>
        </w:tblCellMar>
      </w:tblPr>
      <w:tblGrid>
        <w:gridCol w:w="2435"/>
        <w:gridCol w:w="2435"/>
        <w:gridCol w:w="2435"/>
        <w:gridCol w:w="1757"/>
      </w:tblGrid>
      <w:tr w14:paraId="1824733E">
        <w:tblPrEx>
          <w:tblCellMar>
            <w:top w:w="0" w:type="dxa"/>
            <w:left w:w="0" w:type="dxa"/>
            <w:bottom w:w="0" w:type="dxa"/>
            <w:right w:w="0" w:type="dxa"/>
          </w:tblCellMar>
        </w:tblPrEx>
        <w:trPr>
          <w:trHeight w:val="340" w:hRule="atLeast"/>
          <w:jc w:val="center"/>
        </w:trPr>
        <w:tc>
          <w:tcPr>
            <w:tcW w:w="9062"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CBDCB12">
            <w:pPr>
              <w:pStyle w:val="5"/>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第二十条第（一）项</w:t>
            </w:r>
          </w:p>
        </w:tc>
      </w:tr>
      <w:tr w14:paraId="3662DB6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965D52F">
            <w:pPr>
              <w:pStyle w:val="5"/>
              <w:wordWrap w:val="0"/>
              <w:overflowPunct w:val="0"/>
              <w:autoSpaceDE w:val="0"/>
              <w:spacing w:before="0" w:beforeAutospacing="0" w:after="0" w:afterAutospacing="0" w:line="600" w:lineRule="exact"/>
              <w:rPr>
                <w:rFonts w:ascii="Times New Roman" w:hAnsi="Times New Roman" w:eastAsia="方正仿宋_GBK" w:cs="Times New Roman"/>
                <w:color w:val="000000"/>
              </w:rPr>
            </w:pPr>
            <w:r>
              <w:rPr>
                <w:rFonts w:hint="eastAsia" w:ascii="Times New Roman" w:hAnsi="Times New Roman" w:eastAsia="方正仿宋_GBK" w:cs="Times New Roman"/>
                <w:color w:val="000000"/>
              </w:rPr>
              <w:t>信息内容</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2B046BC">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本年制发件数</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F969242">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本年废止件数</w:t>
            </w:r>
          </w:p>
        </w:tc>
        <w:tc>
          <w:tcPr>
            <w:tcW w:w="1757" w:type="dxa"/>
            <w:tcBorders>
              <w:top w:val="nil"/>
              <w:left w:val="nil"/>
              <w:bottom w:val="single" w:color="auto" w:sz="8" w:space="0"/>
              <w:right w:val="single" w:color="auto" w:sz="8" w:space="0"/>
            </w:tcBorders>
            <w:tcMar>
              <w:top w:w="0" w:type="dxa"/>
              <w:left w:w="57" w:type="dxa"/>
              <w:bottom w:w="0" w:type="dxa"/>
              <w:right w:w="57" w:type="dxa"/>
            </w:tcMar>
            <w:vAlign w:val="center"/>
          </w:tcPr>
          <w:p w14:paraId="6E75C065">
            <w:pPr>
              <w:pStyle w:val="5"/>
              <w:overflowPunct w:val="0"/>
              <w:autoSpaceDE w:val="0"/>
              <w:spacing w:before="0" w:beforeAutospacing="0" w:after="0" w:afterAutospacing="0" w:line="600" w:lineRule="exact"/>
              <w:rPr>
                <w:rFonts w:ascii="Times New Roman" w:hAnsi="Times New Roman" w:eastAsia="方正仿宋_GBK" w:cs="Times New Roman"/>
                <w:color w:val="000000"/>
              </w:rPr>
            </w:pPr>
            <w:r>
              <w:rPr>
                <w:rFonts w:hint="eastAsia" w:ascii="Times New Roman" w:hAnsi="Times New Roman" w:eastAsia="方正仿宋_GBK" w:cs="Times New Roman"/>
                <w:color w:val="000000"/>
              </w:rPr>
              <w:t>现行有效件数</w:t>
            </w:r>
          </w:p>
        </w:tc>
      </w:tr>
      <w:tr w14:paraId="70DCE3B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987C9E0">
            <w:pPr>
              <w:pStyle w:val="5"/>
              <w:wordWrap w:val="0"/>
              <w:overflowPunct w:val="0"/>
              <w:autoSpaceDE w:val="0"/>
              <w:spacing w:before="0" w:beforeAutospacing="0" w:after="0" w:afterAutospacing="0" w:line="600" w:lineRule="exact"/>
              <w:rPr>
                <w:rFonts w:ascii="Times New Roman" w:hAnsi="Times New Roman" w:eastAsia="方正仿宋_GBK" w:cs="Times New Roman"/>
                <w:color w:val="000000"/>
              </w:rPr>
            </w:pPr>
            <w:r>
              <w:rPr>
                <w:rFonts w:hint="eastAsia" w:ascii="Times New Roman" w:hAnsi="Times New Roman" w:eastAsia="方正仿宋_GBK" w:cs="Times New Roman"/>
                <w:color w:val="00000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958467B">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A94A7B1">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 　0</w:t>
            </w:r>
          </w:p>
        </w:tc>
        <w:tc>
          <w:tcPr>
            <w:tcW w:w="1757" w:type="dxa"/>
            <w:tcBorders>
              <w:top w:val="nil"/>
              <w:left w:val="nil"/>
              <w:bottom w:val="single" w:color="auto" w:sz="8" w:space="0"/>
              <w:right w:val="single" w:color="auto" w:sz="8" w:space="0"/>
            </w:tcBorders>
            <w:tcMar>
              <w:top w:w="0" w:type="dxa"/>
              <w:left w:w="57" w:type="dxa"/>
              <w:bottom w:w="0" w:type="dxa"/>
              <w:right w:w="57" w:type="dxa"/>
            </w:tcMar>
            <w:vAlign w:val="center"/>
          </w:tcPr>
          <w:p w14:paraId="03F1DDF6">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ascii="Times New Roman" w:hAnsi="Times New Roman" w:eastAsia="方正仿宋_GBK" w:cs="Times New Roman"/>
                <w:color w:val="000000"/>
              </w:rPr>
              <w:t> </w:t>
            </w:r>
            <w:r>
              <w:rPr>
                <w:rFonts w:hint="eastAsia" w:ascii="Times New Roman" w:hAnsi="Times New Roman" w:eastAsia="方正仿宋_GBK" w:cs="Times New Roman"/>
                <w:color w:val="000000"/>
              </w:rPr>
              <w:t>0</w:t>
            </w:r>
          </w:p>
        </w:tc>
      </w:tr>
      <w:tr w14:paraId="4DEF621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5197411">
            <w:pPr>
              <w:pStyle w:val="5"/>
              <w:wordWrap w:val="0"/>
              <w:overflowPunct w:val="0"/>
              <w:autoSpaceDE w:val="0"/>
              <w:spacing w:before="0" w:beforeAutospacing="0" w:after="0" w:afterAutospacing="0" w:line="600" w:lineRule="exact"/>
              <w:rPr>
                <w:rFonts w:ascii="Times New Roman" w:hAnsi="Times New Roman" w:eastAsia="方正仿宋_GBK" w:cs="Times New Roman"/>
                <w:color w:val="000000"/>
              </w:rPr>
            </w:pPr>
            <w:r>
              <w:rPr>
                <w:rFonts w:hint="eastAsia" w:ascii="Times New Roman" w:hAnsi="Times New Roman" w:eastAsia="方正仿宋_GBK" w:cs="Times New Roman"/>
                <w:color w:val="00000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C86A930">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5155753">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 　0</w:t>
            </w:r>
          </w:p>
        </w:tc>
        <w:tc>
          <w:tcPr>
            <w:tcW w:w="1757" w:type="dxa"/>
            <w:tcBorders>
              <w:top w:val="nil"/>
              <w:left w:val="nil"/>
              <w:bottom w:val="single" w:color="auto" w:sz="8" w:space="0"/>
              <w:right w:val="single" w:color="auto" w:sz="8" w:space="0"/>
            </w:tcBorders>
            <w:tcMar>
              <w:top w:w="0" w:type="dxa"/>
              <w:left w:w="57" w:type="dxa"/>
              <w:bottom w:w="0" w:type="dxa"/>
              <w:right w:w="57" w:type="dxa"/>
            </w:tcMar>
            <w:vAlign w:val="center"/>
          </w:tcPr>
          <w:p w14:paraId="4EC3F088">
            <w:pPr>
              <w:pStyle w:val="5"/>
              <w:wordWrap w:val="0"/>
              <w:overflowPunct w:val="0"/>
              <w:autoSpaceDE w:val="0"/>
              <w:spacing w:before="0" w:beforeAutospacing="0" w:after="0" w:afterAutospacing="0" w:line="600" w:lineRule="exact"/>
              <w:ind w:firstLine="641"/>
              <w:jc w:val="both"/>
              <w:rPr>
                <w:rFonts w:ascii="Times New Roman" w:hAnsi="Times New Roman" w:eastAsia="方正仿宋_GBK" w:cs="Times New Roman"/>
                <w:color w:val="000000"/>
              </w:rPr>
            </w:pPr>
            <w:r>
              <w:rPr>
                <w:rFonts w:ascii="Times New Roman" w:hAnsi="Times New Roman" w:eastAsia="方正仿宋_GBK" w:cs="Times New Roman"/>
                <w:color w:val="000000"/>
              </w:rPr>
              <w:t> </w:t>
            </w:r>
            <w:r>
              <w:rPr>
                <w:rFonts w:hint="eastAsia" w:ascii="Times New Roman" w:hAnsi="Times New Roman" w:eastAsia="方正仿宋_GBK" w:cs="Times New Roman"/>
                <w:color w:val="000000"/>
              </w:rPr>
              <w:t>0</w:t>
            </w:r>
          </w:p>
        </w:tc>
      </w:tr>
      <w:tr w14:paraId="7A6FCDAD">
        <w:tblPrEx>
          <w:tblCellMar>
            <w:top w:w="0" w:type="dxa"/>
            <w:left w:w="0" w:type="dxa"/>
            <w:bottom w:w="0" w:type="dxa"/>
            <w:right w:w="0" w:type="dxa"/>
          </w:tblCellMar>
        </w:tblPrEx>
        <w:trPr>
          <w:trHeight w:val="340" w:hRule="atLeast"/>
          <w:jc w:val="center"/>
        </w:trPr>
        <w:tc>
          <w:tcPr>
            <w:tcW w:w="9062"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3937155">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第二十条第（五）项</w:t>
            </w:r>
          </w:p>
        </w:tc>
      </w:tr>
      <w:tr w14:paraId="2823E98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E32532B">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信息内容</w:t>
            </w:r>
          </w:p>
        </w:tc>
        <w:tc>
          <w:tcPr>
            <w:tcW w:w="6627"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BAD730F">
            <w:pPr>
              <w:pStyle w:val="5"/>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本年处理决定数量</w:t>
            </w:r>
          </w:p>
        </w:tc>
      </w:tr>
      <w:tr w14:paraId="10C2F5F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4C1D8A7">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行政许可</w:t>
            </w:r>
          </w:p>
        </w:tc>
        <w:tc>
          <w:tcPr>
            <w:tcW w:w="6627"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BA12988">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0</w:t>
            </w:r>
          </w:p>
        </w:tc>
      </w:tr>
      <w:tr w14:paraId="64B71701">
        <w:tblPrEx>
          <w:tblCellMar>
            <w:top w:w="0" w:type="dxa"/>
            <w:left w:w="0" w:type="dxa"/>
            <w:bottom w:w="0" w:type="dxa"/>
            <w:right w:w="0" w:type="dxa"/>
          </w:tblCellMar>
        </w:tblPrEx>
        <w:trPr>
          <w:trHeight w:val="340" w:hRule="atLeast"/>
          <w:jc w:val="center"/>
        </w:trPr>
        <w:tc>
          <w:tcPr>
            <w:tcW w:w="9062"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263AB80">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第二十条第（六）项</w:t>
            </w:r>
          </w:p>
        </w:tc>
      </w:tr>
      <w:tr w14:paraId="1635AC1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EFA6278">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信息内容</w:t>
            </w:r>
          </w:p>
        </w:tc>
        <w:tc>
          <w:tcPr>
            <w:tcW w:w="6627"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6A07F05">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本年处理决定数量</w:t>
            </w:r>
          </w:p>
        </w:tc>
      </w:tr>
      <w:tr w14:paraId="4633EE1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4180749">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行政处罚</w:t>
            </w:r>
          </w:p>
        </w:tc>
        <w:tc>
          <w:tcPr>
            <w:tcW w:w="6627"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8DC4AF1">
            <w:pPr>
              <w:pStyle w:val="5"/>
              <w:wordWrap w:val="0"/>
              <w:overflowPunct w:val="0"/>
              <w:autoSpaceDE w:val="0"/>
              <w:spacing w:before="0" w:beforeAutospacing="0" w:after="0" w:afterAutospacing="0" w:line="600" w:lineRule="exact"/>
              <w:ind w:firstLine="641"/>
              <w:jc w:val="center"/>
              <w:rPr>
                <w:rFonts w:hint="eastAsia" w:ascii="Times New Roman" w:hAnsi="Times New Roman" w:eastAsia="方正仿宋_GBK" w:cs="Times New Roman"/>
                <w:color w:val="000000"/>
              </w:rPr>
            </w:pPr>
            <w:r>
              <w:rPr>
                <w:rFonts w:hint="eastAsia" w:ascii="Times New Roman" w:hAnsi="Times New Roman" w:eastAsia="方正仿宋_GBK" w:cs="Times New Roman"/>
                <w:color w:val="000000"/>
              </w:rPr>
              <w:t>19</w:t>
            </w:r>
          </w:p>
        </w:tc>
      </w:tr>
      <w:tr w14:paraId="22B9128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140FF4E">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行政强制</w:t>
            </w:r>
          </w:p>
        </w:tc>
        <w:tc>
          <w:tcPr>
            <w:tcW w:w="6627"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58F3A36">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0</w:t>
            </w:r>
          </w:p>
        </w:tc>
      </w:tr>
      <w:tr w14:paraId="2339C8C3">
        <w:tblPrEx>
          <w:tblCellMar>
            <w:top w:w="0" w:type="dxa"/>
            <w:left w:w="0" w:type="dxa"/>
            <w:bottom w:w="0" w:type="dxa"/>
            <w:right w:w="0" w:type="dxa"/>
          </w:tblCellMar>
        </w:tblPrEx>
        <w:trPr>
          <w:trHeight w:val="340" w:hRule="atLeast"/>
          <w:jc w:val="center"/>
        </w:trPr>
        <w:tc>
          <w:tcPr>
            <w:tcW w:w="9062"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108372F">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第二十条第（八）项</w:t>
            </w:r>
          </w:p>
        </w:tc>
      </w:tr>
      <w:tr w14:paraId="47FE9C8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AD7ADA3">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信息内容</w:t>
            </w:r>
          </w:p>
        </w:tc>
        <w:tc>
          <w:tcPr>
            <w:tcW w:w="6627"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F2D4D63">
            <w:pPr>
              <w:pStyle w:val="5"/>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本年收费金额（单位：万元）</w:t>
            </w:r>
          </w:p>
        </w:tc>
      </w:tr>
      <w:tr w14:paraId="5EEE165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DC74DB8">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rPr>
            </w:pPr>
            <w:r>
              <w:rPr>
                <w:rFonts w:hint="eastAsia" w:ascii="Times New Roman" w:hAnsi="Times New Roman" w:eastAsia="方正仿宋_GBK" w:cs="Times New Roman"/>
                <w:color w:val="000000"/>
              </w:rPr>
              <w:t>行政事业性收费</w:t>
            </w:r>
          </w:p>
        </w:tc>
        <w:tc>
          <w:tcPr>
            <w:tcW w:w="6627"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1FD568C">
            <w:pPr>
              <w:pStyle w:val="5"/>
              <w:wordWrap w:val="0"/>
              <w:overflowPunct w:val="0"/>
              <w:autoSpaceDE w:val="0"/>
              <w:spacing w:before="0" w:beforeAutospacing="0" w:after="0" w:afterAutospacing="0" w:line="600" w:lineRule="exact"/>
              <w:ind w:firstLine="641"/>
              <w:jc w:val="center"/>
              <w:rPr>
                <w:rFonts w:ascii="Times New Roman" w:hAnsi="Times New Roman" w:eastAsia="方正仿宋_GBK" w:cs="Times New Roman"/>
                <w:color w:val="000000"/>
              </w:rPr>
            </w:pPr>
            <w:r>
              <w:rPr>
                <w:rFonts w:hint="eastAsia" w:ascii="Times New Roman" w:hAnsi="Times New Roman" w:eastAsia="方正仿宋_GBK" w:cs="Times New Roman"/>
                <w:color w:val="000000"/>
              </w:rPr>
              <w:t>0</w:t>
            </w:r>
          </w:p>
        </w:tc>
      </w:tr>
    </w:tbl>
    <w:p w14:paraId="6EDD085C">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sz w:val="32"/>
          <w:szCs w:val="32"/>
        </w:rPr>
      </w:pPr>
    </w:p>
    <w:p w14:paraId="3096A710">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三、收到和处理政府信息公开申请情况</w:t>
      </w:r>
    </w:p>
    <w:tbl>
      <w:tblPr>
        <w:tblStyle w:val="6"/>
        <w:tblW w:w="9480"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421"/>
      </w:tblGrid>
      <w:tr w14:paraId="76485AEA">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14:paraId="1E93CB2F">
            <w:pPr>
              <w:widowControl/>
              <w:rPr>
                <w:rFonts w:ascii="Times New Roman" w:hAnsi="Times New Roman" w:eastAsia="宋体" w:cs="Times New Roman"/>
                <w:kern w:val="0"/>
                <w:szCs w:val="21"/>
              </w:rPr>
            </w:pPr>
            <w:r>
              <w:rPr>
                <w:rFonts w:ascii="Times New Roman" w:hAnsi="Times New Roman" w:eastAsia="楷体" w:cs="Times New Roman"/>
                <w:color w:val="000000"/>
                <w:kern w:val="0"/>
                <w:sz w:val="20"/>
                <w:szCs w:val="20"/>
              </w:rPr>
              <w:t>（本列数据的勾稽关系为：第一项加第二项之和，等于第三项加第四项之和）</w:t>
            </w:r>
          </w:p>
        </w:tc>
        <w:tc>
          <w:tcPr>
            <w:tcW w:w="4549"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6E690A9">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申请人情况</w:t>
            </w:r>
          </w:p>
        </w:tc>
      </w:tr>
      <w:tr w14:paraId="6E44426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14:paraId="50D4B3B3">
            <w:pPr>
              <w:widowControl/>
              <w:jc w:val="left"/>
              <w:rPr>
                <w:rFonts w:ascii="Times New Roman" w:hAnsi="Times New Roman" w:eastAsia="宋体" w:cs="Times New Roman"/>
                <w:kern w:val="0"/>
                <w:szCs w:val="21"/>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0AFEBB10">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95B10E7">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法人或其他组织</w:t>
            </w:r>
          </w:p>
        </w:tc>
        <w:tc>
          <w:tcPr>
            <w:tcW w:w="421" w:type="dxa"/>
            <w:vMerge w:val="restart"/>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14:paraId="65A461AE">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总计</w:t>
            </w:r>
          </w:p>
        </w:tc>
      </w:tr>
      <w:tr w14:paraId="300256D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88"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14:paraId="4BB43C5D">
            <w:pPr>
              <w:widowControl/>
              <w:jc w:val="left"/>
              <w:rPr>
                <w:rFonts w:ascii="Times New Roman" w:hAnsi="Times New Roman" w:eastAsia="宋体" w:cs="Times New Roman"/>
                <w:kern w:val="0"/>
                <w:szCs w:val="21"/>
              </w:rPr>
            </w:pPr>
          </w:p>
        </w:tc>
        <w:tc>
          <w:tcPr>
            <w:tcW w:w="688" w:type="dxa"/>
            <w:vMerge w:val="continue"/>
            <w:tcBorders>
              <w:top w:val="nil"/>
              <w:left w:val="nil"/>
              <w:bottom w:val="single" w:color="auto" w:sz="8" w:space="0"/>
              <w:right w:val="single" w:color="auto" w:sz="8" w:space="0"/>
            </w:tcBorders>
            <w:tcMar>
              <w:top w:w="0" w:type="dxa"/>
              <w:left w:w="57" w:type="dxa"/>
              <w:bottom w:w="0" w:type="dxa"/>
              <w:right w:w="57" w:type="dxa"/>
            </w:tcMar>
            <w:vAlign w:val="center"/>
          </w:tcPr>
          <w:p w14:paraId="5C7C989F">
            <w:pPr>
              <w:widowControl/>
              <w:jc w:val="left"/>
              <w:rPr>
                <w:rFonts w:ascii="Times New Roman" w:hAnsi="Times New Roman" w:eastAsia="宋体" w:cs="Times New Roman"/>
                <w:kern w:val="0"/>
                <w:szCs w:val="21"/>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F7E7A0">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商业</w:t>
            </w:r>
          </w:p>
          <w:p w14:paraId="6B7DB31F">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4DAFD6">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科研</w:t>
            </w:r>
          </w:p>
          <w:p w14:paraId="4F5F7D15">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D4E6E64">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4EDAB0C">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CC7D875">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其他</w:t>
            </w:r>
          </w:p>
        </w:tc>
        <w:tc>
          <w:tcPr>
            <w:tcW w:w="421" w:type="dxa"/>
            <w:vMerge w:val="continue"/>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14:paraId="69C7C5F6">
            <w:pPr>
              <w:widowControl/>
              <w:jc w:val="left"/>
              <w:rPr>
                <w:rFonts w:ascii="Times New Roman" w:hAnsi="Times New Roman" w:eastAsia="宋体" w:cs="Times New Roman"/>
                <w:kern w:val="0"/>
                <w:szCs w:val="21"/>
              </w:rPr>
            </w:pPr>
          </w:p>
        </w:tc>
      </w:tr>
      <w:tr w14:paraId="598ECF4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07"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C971B5">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F1C082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72242E">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E2A1E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6AB0D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0E838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D92CC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096F05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r>
      <w:tr w14:paraId="271FD8F8">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B203C5">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4792E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DA945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787AF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12D8B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0F98D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66BC0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E484F88">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395311E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768" w:type="dxa"/>
            <w:vMerge w:val="restart"/>
            <w:tcBorders>
              <w:top w:val="nil"/>
              <w:left w:val="single" w:color="auto" w:sz="8" w:space="0"/>
              <w:right w:val="single" w:color="auto" w:sz="8" w:space="0"/>
            </w:tcBorders>
            <w:tcMar>
              <w:top w:w="0" w:type="dxa"/>
              <w:left w:w="57" w:type="dxa"/>
              <w:bottom w:w="0" w:type="dxa"/>
              <w:right w:w="57" w:type="dxa"/>
            </w:tcMar>
            <w:vAlign w:val="center"/>
          </w:tcPr>
          <w:p w14:paraId="1AA2FC3A">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三、本年度办理结果</w:t>
            </w:r>
          </w:p>
          <w:p w14:paraId="0BD35D4A">
            <w:pPr>
              <w:jc w:val="center"/>
              <w:rPr>
                <w:rFonts w:ascii="Times New Roman" w:hAnsi="Times New Roman" w:eastAsia="宋体" w:cs="Times New Roman"/>
                <w:kern w:val="0"/>
                <w:szCs w:val="21"/>
              </w:rPr>
            </w:pPr>
          </w:p>
        </w:tc>
        <w:tc>
          <w:tcPr>
            <w:tcW w:w="4163" w:type="dxa"/>
            <w:gridSpan w:val="2"/>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6AEA664">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532213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323C5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418FE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3A5088">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30536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FCD37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9493A6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r>
      <w:tr w14:paraId="3C3C1AE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879" w:hRule="atLeast"/>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42E3C95A">
            <w:pPr>
              <w:rPr>
                <w:rFonts w:ascii="Times New Roman" w:hAnsi="Times New Roman" w:eastAsia="宋体" w:cs="Times New Roman"/>
                <w:kern w:val="0"/>
                <w:szCs w:val="21"/>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7B05F22">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（二）部分公开</w:t>
            </w:r>
            <w:r>
              <w:rPr>
                <w:rFonts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3E623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4B6B3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5C170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EB8A4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23DA5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7C500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01762F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r>
      <w:tr w14:paraId="37D9BAC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68E02DAF">
            <w:pPr>
              <w:widowControl/>
              <w:rPr>
                <w:rFonts w:ascii="Times New Roman" w:hAnsi="Times New Roman" w:eastAsia="宋体" w:cs="Times New Roman"/>
                <w:kern w:val="0"/>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14:paraId="7B458DC1">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（三）不予公开</w:t>
            </w:r>
          </w:p>
        </w:tc>
        <w:tc>
          <w:tcPr>
            <w:tcW w:w="3220"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365C16A1">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DCFF8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4373C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BD405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59C8B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759AB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BCA1DD">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39A7725">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02E45C0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36E04E0C">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561EFAB3">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D8484C8">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E6F21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E2BC9E">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6AC5D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3413F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EF665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35EFA5">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7837773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51FC97D2">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0DAA7E0A">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60B1F9C9">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6C86EAF">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4B012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78C768">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86B32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92C45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8419A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D8C46D">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45F48E1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514513A3">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62593059">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12A0B71A">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A9D2215">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315DF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5EE9A8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AA358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D4871D">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501BCE">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D47977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4E8B4E3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261508B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620F24C3">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7A0230CA">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116C16D">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0738C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1B183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7DE17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3F24A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6E5B7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B77F35">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5297D6B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25566B3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0FFD27D5">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7DEDE2CD">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A22DD2B">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8B767E">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4D784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0BC74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E800E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76594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4CED8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4427A3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2210EEB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7F5BE668">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03A3244A">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4B3CBC7">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9D612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A57A3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4EC11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53384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A38F7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C338C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7F66B3E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2BCB2499">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7EA22902">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2E0C25B8">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30FBE37">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010A9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FF143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B6B2D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F85C9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04EF6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607D5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46B513F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6D5852E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2B47DAD3">
            <w:pPr>
              <w:widowControl/>
              <w:jc w:val="left"/>
              <w:rPr>
                <w:rFonts w:ascii="Times New Roman" w:hAnsi="Times New Roman" w:eastAsia="宋体" w:cs="Times New Roman"/>
                <w:kern w:val="0"/>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14:paraId="7EA290F0">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D9F418C">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A2632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C30AC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81BAA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E184D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B1D13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B341A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52E9C5D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r>
      <w:tr w14:paraId="6166F50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70703FED">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1D515E50">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59BD63D">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76BE5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7039A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60FB7D">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9C9DE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61DF2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BA297E">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BD6903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67B6A8A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45D2FB17">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49F76A43">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3B45C11">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3CB5D8">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18E5C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32DF1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A6A97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BF0D3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6B0DE3">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300909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45D6D9E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6570B4F4">
            <w:pPr>
              <w:widowControl/>
              <w:jc w:val="left"/>
              <w:rPr>
                <w:rFonts w:ascii="Times New Roman" w:hAnsi="Times New Roman" w:eastAsia="宋体" w:cs="Times New Roman"/>
                <w:kern w:val="0"/>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14:paraId="2FDAEDE0">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CE4802A">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15CAA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0BA0F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2ADDB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88F2A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D2A2F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C31947">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32AD851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7ADA78C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5E7369DC">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0CB0F411">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B8FED2A">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8A5EE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681E2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5ACF7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D69CC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49DBED">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871E8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7BAB6F5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0</w:t>
            </w:r>
          </w:p>
        </w:tc>
      </w:tr>
      <w:tr w14:paraId="1B592CA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2A592C69">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3A098D30">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B7A4A80">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88BEBB">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09E88C">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2B09D2">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24714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1AFFF9">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DAB000">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E9EC0DA">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788FAF71">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471405F9">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6635F779">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F63CAE1">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6ADF1E">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FE89B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F7240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2CF601">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E674AF">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171BC4">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7F90FEE6">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0</w:t>
            </w:r>
          </w:p>
        </w:tc>
      </w:tr>
      <w:tr w14:paraId="32EAE74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3B4A85DA">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34FDC327">
            <w:pPr>
              <w:widowControl/>
              <w:jc w:val="left"/>
              <w:rPr>
                <w:rFonts w:ascii="Times New Roman" w:hAnsi="Times New Roman" w:eastAsia="宋体" w:cs="Times New Roman"/>
                <w:kern w:val="0"/>
                <w:szCs w:val="21"/>
              </w:rPr>
            </w:pPr>
          </w:p>
        </w:tc>
        <w:tc>
          <w:tcPr>
            <w:tcW w:w="3220" w:type="dxa"/>
            <w:tcBorders>
              <w:top w:val="nil"/>
              <w:left w:val="nil"/>
              <w:bottom w:val="outset" w:color="auto" w:sz="8" w:space="0"/>
              <w:right w:val="single" w:color="auto" w:sz="8" w:space="0"/>
            </w:tcBorders>
            <w:tcMar>
              <w:top w:w="0" w:type="dxa"/>
              <w:left w:w="57" w:type="dxa"/>
              <w:bottom w:w="0" w:type="dxa"/>
              <w:right w:w="57" w:type="dxa"/>
            </w:tcMar>
            <w:vAlign w:val="center"/>
          </w:tcPr>
          <w:p w14:paraId="06348989">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14:paraId="288D027F">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14:paraId="44A57EAE">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14:paraId="1BF9AA10">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14:paraId="53FDDAEA">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14:paraId="4CC41833">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14:paraId="19E14A86">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421" w:type="dxa"/>
            <w:tcBorders>
              <w:top w:val="nil"/>
              <w:left w:val="nil"/>
              <w:bottom w:val="outset" w:color="auto" w:sz="8" w:space="0"/>
              <w:right w:val="single" w:color="auto" w:sz="8" w:space="0"/>
            </w:tcBorders>
            <w:tcMar>
              <w:top w:w="0" w:type="dxa"/>
              <w:left w:w="57" w:type="dxa"/>
              <w:bottom w:w="0" w:type="dxa"/>
              <w:right w:w="57" w:type="dxa"/>
            </w:tcMar>
            <w:vAlign w:val="center"/>
          </w:tcPr>
          <w:p w14:paraId="72F4C307">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r>
      <w:tr w14:paraId="2020558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78B70221">
            <w:pPr>
              <w:widowControl/>
              <w:jc w:val="left"/>
              <w:rPr>
                <w:rFonts w:ascii="Times New Roman" w:hAnsi="Times New Roman" w:eastAsia="宋体" w:cs="Times New Roman"/>
                <w:kern w:val="0"/>
                <w:szCs w:val="21"/>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14:paraId="1FD99172">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78AD73CA">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40011F">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F77DC19">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43A31E">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D58F71">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EC97DA">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78A49B5">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1F3A717C">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r>
      <w:tr w14:paraId="540470E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137DC75B">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5B55A115">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7F119737">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E30B18">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2D8A23">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192234">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41F54B">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6BF95D">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4A4AB0">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7D201CF9">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r>
      <w:tr w14:paraId="0F9D717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right w:val="single" w:color="auto" w:sz="8" w:space="0"/>
            </w:tcBorders>
            <w:tcMar>
              <w:top w:w="0" w:type="dxa"/>
              <w:left w:w="57" w:type="dxa"/>
              <w:bottom w:w="0" w:type="dxa"/>
              <w:right w:w="57" w:type="dxa"/>
            </w:tcMar>
            <w:vAlign w:val="center"/>
          </w:tcPr>
          <w:p w14:paraId="496BE585">
            <w:pPr>
              <w:widowControl/>
              <w:jc w:val="left"/>
              <w:rPr>
                <w:rFonts w:ascii="Times New Roman" w:hAnsi="Times New Roman" w:eastAsia="宋体" w:cs="Times New Roman"/>
                <w:kern w:val="0"/>
                <w:szCs w:val="21"/>
              </w:rPr>
            </w:pPr>
          </w:p>
        </w:tc>
        <w:tc>
          <w:tcPr>
            <w:tcW w:w="943" w:type="dxa"/>
            <w:vMerge w:val="continue"/>
            <w:tcBorders>
              <w:top w:val="nil"/>
              <w:left w:val="nil"/>
              <w:bottom w:val="outset" w:color="auto" w:sz="8" w:space="0"/>
              <w:right w:val="single" w:color="auto" w:sz="8" w:space="0"/>
            </w:tcBorders>
            <w:tcMar>
              <w:top w:w="0" w:type="dxa"/>
              <w:left w:w="57" w:type="dxa"/>
              <w:bottom w:w="0" w:type="dxa"/>
              <w:right w:w="57" w:type="dxa"/>
            </w:tcMar>
            <w:vAlign w:val="center"/>
          </w:tcPr>
          <w:p w14:paraId="4B510179">
            <w:pPr>
              <w:widowControl/>
              <w:jc w:val="left"/>
              <w:rPr>
                <w:rFonts w:ascii="Times New Roman" w:hAnsi="Times New Roman" w:eastAsia="宋体" w:cs="Times New Roman"/>
                <w:kern w:val="0"/>
                <w:szCs w:val="21"/>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7DB256D8">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BA9F25">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781FE4">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6C3251">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D301A6">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F32E4D">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C43F028">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2560DA25">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r>
      <w:tr w14:paraId="15AADD1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left w:val="single" w:color="auto" w:sz="8" w:space="0"/>
              <w:bottom w:val="outset" w:color="auto" w:sz="8" w:space="0"/>
              <w:right w:val="single" w:color="auto" w:sz="8" w:space="0"/>
            </w:tcBorders>
            <w:tcMar>
              <w:top w:w="0" w:type="dxa"/>
              <w:left w:w="57" w:type="dxa"/>
              <w:bottom w:w="0" w:type="dxa"/>
              <w:right w:w="57" w:type="dxa"/>
            </w:tcMar>
            <w:vAlign w:val="center"/>
          </w:tcPr>
          <w:p w14:paraId="26174813">
            <w:pPr>
              <w:widowControl/>
              <w:jc w:val="left"/>
              <w:rPr>
                <w:rFonts w:ascii="Times New Roman" w:hAnsi="Times New Roman" w:eastAsia="宋体" w:cs="Times New Roman"/>
                <w:kern w:val="0"/>
                <w:szCs w:val="21"/>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634CE90">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E561B7">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E25ACA">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C1986C">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016B68">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825E82">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706018">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4F233B68">
            <w:pPr>
              <w:widowControl/>
              <w:jc w:val="center"/>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0</w:t>
            </w:r>
          </w:p>
        </w:tc>
      </w:tr>
      <w:tr w14:paraId="5B804F67">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F0471E">
            <w:pPr>
              <w:widowControl/>
              <w:rPr>
                <w:rFonts w:ascii="Times New Roman" w:hAnsi="Times New Roman" w:eastAsia="宋体" w:cs="Times New Roman"/>
                <w:kern w:val="0"/>
                <w:szCs w:val="21"/>
              </w:rPr>
            </w:pPr>
            <w:r>
              <w:rPr>
                <w:rFonts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E53798">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929910">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06C24B">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589C06">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6677C8">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0E1930">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 w:val="20"/>
                <w:szCs w:val="20"/>
              </w:rPr>
              <w:t>0</w:t>
            </w:r>
          </w:p>
        </w:tc>
        <w:tc>
          <w:tcPr>
            <w:tcW w:w="421" w:type="dxa"/>
            <w:tcBorders>
              <w:top w:val="nil"/>
              <w:left w:val="nil"/>
              <w:bottom w:val="single" w:color="auto" w:sz="8" w:space="0"/>
              <w:right w:val="single" w:color="auto" w:sz="8" w:space="0"/>
            </w:tcBorders>
            <w:tcMar>
              <w:top w:w="0" w:type="dxa"/>
              <w:left w:w="57" w:type="dxa"/>
              <w:bottom w:w="0" w:type="dxa"/>
              <w:right w:w="57" w:type="dxa"/>
            </w:tcMar>
            <w:vAlign w:val="center"/>
          </w:tcPr>
          <w:p w14:paraId="4EE8FEB5">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w:t>
            </w:r>
          </w:p>
        </w:tc>
      </w:tr>
    </w:tbl>
    <w:p w14:paraId="6473179B">
      <w:pPr>
        <w:pStyle w:val="5"/>
        <w:overflowPunct w:val="0"/>
        <w:autoSpaceDE w:val="0"/>
        <w:spacing w:before="0" w:beforeAutospacing="0" w:after="0" w:afterAutospacing="0" w:line="600" w:lineRule="atLeast"/>
        <w:jc w:val="both"/>
        <w:rPr>
          <w:rFonts w:ascii="Times New Roman" w:hAnsi="Times New Roman" w:eastAsia="方正仿宋_GBK" w:cs="Times New Roman"/>
          <w:color w:val="000000"/>
          <w:sz w:val="32"/>
          <w:szCs w:val="32"/>
        </w:rPr>
      </w:pPr>
    </w:p>
    <w:p w14:paraId="2E5D7272">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Style w:val="6"/>
        <w:tblW w:w="9499"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fixed"/>
        <w:tblCellMar>
          <w:top w:w="15" w:type="dxa"/>
          <w:left w:w="15" w:type="dxa"/>
          <w:bottom w:w="15" w:type="dxa"/>
          <w:right w:w="15" w:type="dxa"/>
        </w:tblCellMar>
      </w:tblPr>
      <w:tblGrid>
        <w:gridCol w:w="650"/>
        <w:gridCol w:w="650"/>
        <w:gridCol w:w="650"/>
        <w:gridCol w:w="650"/>
        <w:gridCol w:w="650"/>
        <w:gridCol w:w="649"/>
        <w:gridCol w:w="649"/>
        <w:gridCol w:w="650"/>
        <w:gridCol w:w="650"/>
        <w:gridCol w:w="650"/>
        <w:gridCol w:w="650"/>
        <w:gridCol w:w="650"/>
        <w:gridCol w:w="650"/>
        <w:gridCol w:w="650"/>
        <w:gridCol w:w="401"/>
      </w:tblGrid>
      <w:tr w14:paraId="3245E044">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1FC50C9">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行政复议</w:t>
            </w:r>
          </w:p>
        </w:tc>
        <w:tc>
          <w:tcPr>
            <w:tcW w:w="6249"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7B412E6">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行政诉讼</w:t>
            </w:r>
          </w:p>
        </w:tc>
      </w:tr>
      <w:tr w14:paraId="2DCA4FCE">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B95AF5">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结果维持</w:t>
            </w:r>
          </w:p>
        </w:tc>
        <w:tc>
          <w:tcPr>
            <w:tcW w:w="6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AE34312">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结果</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纠正</w:t>
            </w:r>
          </w:p>
        </w:tc>
        <w:tc>
          <w:tcPr>
            <w:tcW w:w="65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90C9C1">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其他</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结果</w:t>
            </w:r>
          </w:p>
        </w:tc>
        <w:tc>
          <w:tcPr>
            <w:tcW w:w="65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C98BE25">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尚未</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审结</w:t>
            </w:r>
          </w:p>
        </w:tc>
        <w:tc>
          <w:tcPr>
            <w:tcW w:w="65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C33A6D">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总计</w:t>
            </w:r>
          </w:p>
        </w:tc>
        <w:tc>
          <w:tcPr>
            <w:tcW w:w="324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EA54F27">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未经复议直接起诉</w:t>
            </w:r>
          </w:p>
        </w:tc>
        <w:tc>
          <w:tcPr>
            <w:tcW w:w="300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DA3FB1">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复议后起诉</w:t>
            </w:r>
          </w:p>
        </w:tc>
      </w:tr>
      <w:tr w14:paraId="3BCA3B5B">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jc w:val="center"/>
        </w:trPr>
        <w:tc>
          <w:tcPr>
            <w:tcW w:w="65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6457E5">
            <w:pPr>
              <w:rPr>
                <w:rFonts w:ascii="Times New Roman" w:hAnsi="Times New Roman" w:cs="Times New Roman"/>
                <w:szCs w:val="21"/>
              </w:rPr>
            </w:pPr>
          </w:p>
        </w:tc>
        <w:tc>
          <w:tcPr>
            <w:tcW w:w="65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58CBFAA">
            <w:pPr>
              <w:rPr>
                <w:rFonts w:ascii="Times New Roman" w:hAnsi="Times New Roman" w:cs="Times New Roman"/>
                <w:szCs w:val="21"/>
              </w:rPr>
            </w:pPr>
          </w:p>
        </w:tc>
        <w:tc>
          <w:tcPr>
            <w:tcW w:w="65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A19D91">
            <w:pPr>
              <w:rPr>
                <w:rFonts w:ascii="Times New Roman" w:hAnsi="Times New Roman" w:cs="Times New Roman"/>
                <w:szCs w:val="21"/>
              </w:rPr>
            </w:pPr>
          </w:p>
        </w:tc>
        <w:tc>
          <w:tcPr>
            <w:tcW w:w="65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A26C874">
            <w:pPr>
              <w:rPr>
                <w:rFonts w:ascii="Times New Roman" w:hAnsi="Times New Roman" w:cs="Times New Roman"/>
                <w:szCs w:val="21"/>
              </w:rPr>
            </w:pPr>
          </w:p>
        </w:tc>
        <w:tc>
          <w:tcPr>
            <w:tcW w:w="65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CE4B885">
            <w:pPr>
              <w:rPr>
                <w:rFonts w:ascii="Times New Roman" w:hAnsi="Times New Roman" w:cs="Times New Roman"/>
                <w:szCs w:val="21"/>
              </w:rPr>
            </w:pP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14:paraId="4D87B0DD">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结果</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维持</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14:paraId="6998F35C">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结果</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纠正</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BBD11E6">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其他</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结果</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F64799A">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尚未</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审结</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99C2A5">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总计</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1CCE22C">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结果</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维持</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C0D8E99">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结果</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纠正</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244A89">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其他</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结果</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4C6A7F">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尚未</w:t>
            </w:r>
            <w:r>
              <w:rPr>
                <w:rFonts w:ascii="Times New Roman" w:hAnsi="Times New Roman" w:cs="Times New Roman"/>
                <w:color w:val="000000"/>
                <w:sz w:val="20"/>
                <w:szCs w:val="20"/>
              </w:rPr>
              <w:br w:type="textWrapping"/>
            </w:r>
            <w:r>
              <w:rPr>
                <w:rFonts w:ascii="Times New Roman" w:hAnsi="Times New Roman" w:cs="Times New Roman"/>
                <w:color w:val="000000"/>
                <w:sz w:val="20"/>
                <w:szCs w:val="20"/>
              </w:rPr>
              <w:t>审结</w:t>
            </w:r>
          </w:p>
        </w:tc>
        <w:tc>
          <w:tcPr>
            <w:tcW w:w="4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9E6660">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总计</w:t>
            </w:r>
          </w:p>
        </w:tc>
      </w:tr>
      <w:tr w14:paraId="4E2B60B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853DAAA">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eastAsia="黑体" w:cs="Times New Roman"/>
                <w:color w:val="000000"/>
                <w:sz w:val="20"/>
                <w:szCs w:val="20"/>
              </w:rPr>
              <w:t>0</w:t>
            </w:r>
            <w:r>
              <w:rPr>
                <w:rFonts w:ascii="Times New Roman" w:hAnsi="Times New Roman" w:eastAsia="黑体" w:cs="Times New Roman"/>
                <w:color w:val="000000"/>
                <w:sz w:val="20"/>
                <w:szCs w:val="20"/>
              </w:rPr>
              <w:t> </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F885F9">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 </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386F9C">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 </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1E7874">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 </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FF09B">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 </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BE2473">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 </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94E2F">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92508">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35E9A71">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F57C887">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5B4B6F7">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color w:val="000000"/>
                <w:sz w:val="20"/>
                <w:szCs w:val="20"/>
              </w:rPr>
              <w:t>0</w:t>
            </w:r>
            <w:r>
              <w:rPr>
                <w:rFonts w:ascii="Times New Roman" w:hAnsi="Times New Roman" w:cs="Times New Roman"/>
                <w:color w:val="000000"/>
                <w:sz w:val="20"/>
                <w:szCs w:val="20"/>
              </w:rPr>
              <w:t> </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BE5FF">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F1306F6">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FEBBFF">
            <w:pPr>
              <w:pStyle w:val="5"/>
              <w:spacing w:before="0" w:beforeAutospacing="0" w:after="0" w:afterAutospacing="0"/>
              <w:jc w:val="center"/>
              <w:rPr>
                <w:rFonts w:ascii="Times New Roman" w:hAnsi="Times New Roman" w:cs="Times New Roman"/>
                <w:sz w:val="21"/>
                <w:szCs w:val="21"/>
              </w:rPr>
            </w:pPr>
            <w:r>
              <w:rPr>
                <w:rFonts w:ascii="Times New Roman" w:hAnsi="Times New Roman" w:cs="Times New Roman"/>
                <w:color w:val="000000"/>
                <w:sz w:val="20"/>
                <w:szCs w:val="20"/>
              </w:rPr>
              <w:t> </w:t>
            </w:r>
            <w:r>
              <w:rPr>
                <w:rFonts w:hint="eastAsia" w:ascii="Times New Roman" w:hAnsi="Times New Roman" w:cs="Times New Roman"/>
                <w:color w:val="000000"/>
                <w:sz w:val="20"/>
                <w:szCs w:val="20"/>
              </w:rPr>
              <w:t>0</w:t>
            </w:r>
          </w:p>
        </w:tc>
        <w:tc>
          <w:tcPr>
            <w:tcW w:w="401" w:type="dxa"/>
            <w:tcBorders>
              <w:top w:val="nil"/>
              <w:left w:val="nil"/>
              <w:bottom w:val="single" w:color="auto" w:sz="8" w:space="0"/>
              <w:right w:val="single" w:color="auto" w:sz="8" w:space="0"/>
            </w:tcBorders>
            <w:tcMar>
              <w:top w:w="0" w:type="dxa"/>
              <w:left w:w="108" w:type="dxa"/>
              <w:bottom w:w="0" w:type="dxa"/>
              <w:right w:w="108" w:type="dxa"/>
            </w:tcMar>
            <w:vAlign w:val="center"/>
          </w:tcPr>
          <w:p w14:paraId="327F068F">
            <w:pPr>
              <w:pStyle w:val="5"/>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w:t>
            </w:r>
          </w:p>
        </w:tc>
      </w:tr>
    </w:tbl>
    <w:p w14:paraId="712ADC64">
      <w:pPr>
        <w:pStyle w:val="5"/>
        <w:wordWrap w:val="0"/>
        <w:overflowPunct w:val="0"/>
        <w:autoSpaceDE w:val="0"/>
        <w:spacing w:before="0" w:beforeAutospacing="0" w:after="0" w:afterAutospacing="0" w:line="600" w:lineRule="exact"/>
        <w:jc w:val="both"/>
        <w:rPr>
          <w:rFonts w:ascii="Times New Roman" w:hAnsi="Times New Roman" w:eastAsia="方正仿宋_GBK" w:cs="Times New Roman"/>
          <w:color w:val="000000"/>
          <w:sz w:val="32"/>
          <w:szCs w:val="32"/>
        </w:rPr>
      </w:pPr>
    </w:p>
    <w:p w14:paraId="1455EF34">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五、存在的主要问题及改进情况 </w:t>
      </w:r>
    </w:p>
    <w:p w14:paraId="54872F5E">
      <w:pPr>
        <w:pStyle w:val="5"/>
        <w:keepNext w:val="0"/>
        <w:keepLines w:val="0"/>
        <w:widowControl/>
        <w:suppressLineNumbers w:val="0"/>
        <w:spacing w:before="0" w:beforeAutospacing="0" w:after="0" w:afterAutospacing="0" w:line="600" w:lineRule="atLeast"/>
        <w:ind w:left="0" w:right="0" w:firstLine="64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2024年，我局政府信息公开作取得了一定的成绩，但对照县政府的要求和参保群众的期望，还存在一些不足的问题，</w:t>
      </w:r>
      <w:r>
        <w:rPr>
          <w:rFonts w:hint="eastAsia" w:ascii="Times New Roman" w:hAnsi="Times New Roman" w:eastAsia="方正仿宋_GBK" w:cs="方正仿宋_GBK"/>
          <w:sz w:val="32"/>
          <w:szCs w:val="32"/>
          <w:lang w:val="en-US" w:eastAsia="zh-CN"/>
        </w:rPr>
        <w:t>我局针对存在问题进行了改进。工作情况如下。</w:t>
      </w:r>
    </w:p>
    <w:p w14:paraId="07E4F11A">
      <w:pPr>
        <w:pStyle w:val="5"/>
        <w:keepNext w:val="0"/>
        <w:keepLines w:val="0"/>
        <w:widowControl/>
        <w:suppressLineNumbers w:val="0"/>
        <w:spacing w:before="0" w:beforeAutospacing="0" w:after="0" w:afterAutospacing="0" w:line="600" w:lineRule="atLeast"/>
        <w:ind w:left="0" w:right="0" w:firstLine="640"/>
        <w:jc w:val="both"/>
        <w:rPr>
          <w:rFonts w:ascii="Calibri" w:hAnsi="Calibri" w:cs="Calibri"/>
          <w:sz w:val="21"/>
          <w:szCs w:val="21"/>
        </w:rPr>
      </w:pPr>
      <w:r>
        <w:rPr>
          <w:rFonts w:hint="default" w:ascii="Times New Roman" w:hAnsi="Times New Roman" w:eastAsia="方正仿宋_GBK" w:cs="Times New Roman"/>
          <w:sz w:val="32"/>
          <w:szCs w:val="32"/>
        </w:rPr>
        <w:t>存在</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主要问题：一是信息质量不高。一些公开的信息内容笼统、模糊，缺乏具体的细节和数据支撑，难以满足公众对信息深度和广度的需求；二是公开渠道不畅。信息公开渠道相对单一，影响了信息的普及性和可及性。</w:t>
      </w:r>
    </w:p>
    <w:p w14:paraId="58CA2F8E">
      <w:pPr>
        <w:pStyle w:val="5"/>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default" w:ascii="Times New Roman" w:hAnsi="Times New Roman" w:eastAsia="方正仿宋_GBK" w:cs="Times New Roman"/>
          <w:sz w:val="32"/>
          <w:szCs w:val="32"/>
        </w:rPr>
        <w:t>改进情况：一是提升信息质量。加强对公开信息的审核把关，确保信息内容具体、准确、完整，同时利用图表、数据可视化等手段提高信息的可读性和易理解性，还通过举办新闻发布会等形式，增加信息透明度。二是拓宽公开渠道。充分利用互联网、新媒体等平台，构建多元化信息公开渠道，特别是加强移动端应用开发，使公众能够便捷地通过手机等终端设备获取政府信息。</w:t>
      </w:r>
      <w:bookmarkStart w:id="3" w:name="_GoBack"/>
      <w:bookmarkEnd w:id="3"/>
    </w:p>
    <w:p w14:paraId="35E757ED">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 </w:t>
      </w:r>
    </w:p>
    <w:p w14:paraId="0724E84E">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按照《国务院办公厅关于印发（政府信息公开信息处理费管理办法）的通知》（国办函[2020]109号）规定的案件、按量收费标准，本年度未产生信息公开处理费。</w:t>
      </w:r>
    </w:p>
    <w:bookmarkEnd w:id="0"/>
    <w:bookmarkEnd w:id="1"/>
    <w:p w14:paraId="2DF0BD92">
      <w:pPr>
        <w:spacing w:line="600" w:lineRule="exact"/>
        <w:ind w:firstLine="640" w:firstLineChars="200"/>
        <w:rPr>
          <w:rFonts w:ascii="Times New Roman" w:hAnsi="Times New Roman"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lMjU5NGNlNDZhYjAzZTcxODg4ZmQyYTc4ZTg4MzMifQ=="/>
    <w:docVar w:name="KSO_WPS_MARK_KEY" w:val="1afee7b0-32fa-4afe-b105-7c3eb157655a"/>
  </w:docVars>
  <w:rsids>
    <w:rsidRoot w:val="004939A1"/>
    <w:rsid w:val="000211CC"/>
    <w:rsid w:val="00062881"/>
    <w:rsid w:val="00117D5E"/>
    <w:rsid w:val="00170663"/>
    <w:rsid w:val="001B6198"/>
    <w:rsid w:val="001D5383"/>
    <w:rsid w:val="00277A4F"/>
    <w:rsid w:val="00281A16"/>
    <w:rsid w:val="003160CC"/>
    <w:rsid w:val="00355D4F"/>
    <w:rsid w:val="003572B5"/>
    <w:rsid w:val="00397E8A"/>
    <w:rsid w:val="003E7872"/>
    <w:rsid w:val="0048193A"/>
    <w:rsid w:val="004939A1"/>
    <w:rsid w:val="004E517D"/>
    <w:rsid w:val="0050014F"/>
    <w:rsid w:val="0066089B"/>
    <w:rsid w:val="006638A9"/>
    <w:rsid w:val="006645AC"/>
    <w:rsid w:val="00724C98"/>
    <w:rsid w:val="00783AD9"/>
    <w:rsid w:val="008C21F7"/>
    <w:rsid w:val="009926A1"/>
    <w:rsid w:val="009E3347"/>
    <w:rsid w:val="00A07FF1"/>
    <w:rsid w:val="00A338F4"/>
    <w:rsid w:val="00AA2A56"/>
    <w:rsid w:val="00B16E41"/>
    <w:rsid w:val="00B511E3"/>
    <w:rsid w:val="00B75920"/>
    <w:rsid w:val="00B819DA"/>
    <w:rsid w:val="00BB207F"/>
    <w:rsid w:val="00BC14CA"/>
    <w:rsid w:val="00C36017"/>
    <w:rsid w:val="00C41273"/>
    <w:rsid w:val="00C87465"/>
    <w:rsid w:val="00C91F6F"/>
    <w:rsid w:val="00D4785E"/>
    <w:rsid w:val="00D84D1B"/>
    <w:rsid w:val="00D86DB3"/>
    <w:rsid w:val="00DB5C96"/>
    <w:rsid w:val="00DC18B5"/>
    <w:rsid w:val="00E20F88"/>
    <w:rsid w:val="00E671D3"/>
    <w:rsid w:val="00F039EF"/>
    <w:rsid w:val="00F7330B"/>
    <w:rsid w:val="00FA0B36"/>
    <w:rsid w:val="01043544"/>
    <w:rsid w:val="32C76440"/>
    <w:rsid w:val="3AAF2CB2"/>
    <w:rsid w:val="40C8044B"/>
    <w:rsid w:val="415B2D38"/>
    <w:rsid w:val="54B9371C"/>
    <w:rsid w:val="62FD3B7A"/>
    <w:rsid w:val="7578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1"/>
    <w:autoRedefine/>
    <w:qFormat/>
    <w:uiPriority w:val="99"/>
    <w:pPr>
      <w:ind w:left="266" w:leftChars="266" w:firstLine="420" w:firstLineChars="150"/>
    </w:pPr>
    <w:rPr>
      <w:rFonts w:ascii="宋体" w:hAnsi="宋体"/>
      <w:sz w:val="2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1975</Words>
  <Characters>2078</Characters>
  <Lines>17</Lines>
  <Paragraphs>5</Paragraphs>
  <TotalTime>85</TotalTime>
  <ScaleCrop>false</ScaleCrop>
  <LinksUpToDate>false</LinksUpToDate>
  <CharactersWithSpaces>2108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2023-01-29T02:57:00Z</dcterms:created>
  <dc:creator>Lenovo</dc:creator>
  <cp:lastModifiedBy>一只小奶牛</cp:lastModifiedBy>
  <dcterms:modified xsi:type="dcterms:W3CDTF">2025-02-14T02:24:47Z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0F5927DE3DC741ADAA1A08F22D41001F_13</vt:lpwstr>
  </property>
  <property fmtid="{D5CDD505-2E9C-101B-9397-08002B2CF9AE}" pid="4" name="KSOTemplateDocerSaveRecord">
    <vt:lpwstr>eyJoZGlkIjoiOGRiOWE3ZjViZTYyOGJjMjlmOWFlNTBmNDNjYjViYmUiLCJ1c2VySWQiOiI5NjgyOTI1MzAifQ==</vt:lpwstr>
  </property>
</Properties>
</file>